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0075C" w14:textId="4156DBA6" w:rsidR="00EB1938" w:rsidRPr="00462E79" w:rsidRDefault="001B3323" w:rsidP="00EF5238">
      <w:pPr>
        <w:jc w:val="center"/>
        <w:rPr>
          <w:b/>
          <w:sz w:val="24"/>
          <w:szCs w:val="32"/>
          <w:lang w:val="en-US"/>
        </w:rPr>
      </w:pPr>
      <w:r w:rsidRPr="00EF5238">
        <w:rPr>
          <w:noProof/>
          <w:sz w:val="22"/>
          <w:lang w:val="en-US"/>
        </w:rPr>
        <w:drawing>
          <wp:anchor distT="0" distB="0" distL="114300" distR="114300" simplePos="0" relativeHeight="251657728" behindDoc="1" locked="0" layoutInCell="1" allowOverlap="1" wp14:anchorId="6C63D770" wp14:editId="1AE6A69A">
            <wp:simplePos x="0" y="0"/>
            <wp:positionH relativeFrom="column">
              <wp:posOffset>-217170</wp:posOffset>
            </wp:positionH>
            <wp:positionV relativeFrom="paragraph">
              <wp:posOffset>-256540</wp:posOffset>
            </wp:positionV>
            <wp:extent cx="926465" cy="920750"/>
            <wp:effectExtent l="19050" t="0" r="6985" b="0"/>
            <wp:wrapNone/>
            <wp:docPr id="3" name="Picture 3" descr="Hacal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calit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1938" w:rsidRPr="00462E79">
        <w:rPr>
          <w:b/>
          <w:sz w:val="36"/>
          <w:lang w:val="en-US" w:bidi="es-ES"/>
        </w:rPr>
        <w:t>Housing Authority of the City of Austin</w:t>
      </w:r>
    </w:p>
    <w:p w14:paraId="47337C3A" w14:textId="2C80929F" w:rsidR="00EB1938" w:rsidRDefault="00756860" w:rsidP="00756860">
      <w:pPr>
        <w:tabs>
          <w:tab w:val="left" w:pos="2846"/>
          <w:tab w:val="left" w:pos="2983"/>
        </w:tabs>
        <w:jc w:val="center"/>
        <w:rPr>
          <w:sz w:val="22"/>
          <w:szCs w:val="16"/>
        </w:rPr>
      </w:pPr>
      <w:r w:rsidRPr="00756860">
        <w:rPr>
          <w:sz w:val="22"/>
          <w:szCs w:val="16"/>
        </w:rPr>
        <w:t>Establecida en 1937</w:t>
      </w:r>
    </w:p>
    <w:p w14:paraId="3DE871B9" w14:textId="77777777" w:rsidR="00DA5AC3" w:rsidRDefault="00DA5AC3" w:rsidP="00756860">
      <w:pPr>
        <w:tabs>
          <w:tab w:val="left" w:pos="2846"/>
          <w:tab w:val="left" w:pos="2983"/>
        </w:tabs>
        <w:jc w:val="center"/>
        <w:rPr>
          <w:sz w:val="22"/>
          <w:szCs w:val="16"/>
        </w:rPr>
      </w:pPr>
    </w:p>
    <w:p w14:paraId="195F92C9" w14:textId="77777777" w:rsidR="00DA5AC3" w:rsidRPr="00756860" w:rsidRDefault="00DA5AC3" w:rsidP="00756860">
      <w:pPr>
        <w:tabs>
          <w:tab w:val="left" w:pos="2846"/>
          <w:tab w:val="left" w:pos="2983"/>
        </w:tabs>
        <w:jc w:val="center"/>
        <w:rPr>
          <w:sz w:val="16"/>
          <w:szCs w:val="16"/>
        </w:rPr>
      </w:pPr>
    </w:p>
    <w:p w14:paraId="1D31A91F" w14:textId="77777777" w:rsidR="00EF0CB9" w:rsidRPr="00EF5238" w:rsidRDefault="00EF0CB9">
      <w:pPr>
        <w:tabs>
          <w:tab w:val="left" w:pos="2846"/>
          <w:tab w:val="left" w:pos="2983"/>
        </w:tabs>
        <w:rPr>
          <w:sz w:val="4"/>
        </w:rPr>
      </w:pPr>
    </w:p>
    <w:p w14:paraId="1531BAE5" w14:textId="77777777" w:rsidR="00EF0CB9" w:rsidRDefault="00EF0CB9">
      <w:pPr>
        <w:tabs>
          <w:tab w:val="left" w:pos="2846"/>
          <w:tab w:val="left" w:pos="2983"/>
        </w:tabs>
        <w:rPr>
          <w:sz w:val="20"/>
        </w:rPr>
      </w:pPr>
    </w:p>
    <w:p w14:paraId="2FDB923F" w14:textId="77777777" w:rsidR="00B73C84" w:rsidRPr="00EF5238" w:rsidRDefault="00B73C84" w:rsidP="00A31595">
      <w:pPr>
        <w:tabs>
          <w:tab w:val="left" w:pos="2846"/>
          <w:tab w:val="left" w:pos="2983"/>
        </w:tabs>
        <w:jc w:val="center"/>
        <w:rPr>
          <w:b/>
          <w:szCs w:val="26"/>
        </w:rPr>
      </w:pPr>
      <w:r w:rsidRPr="00EF5238">
        <w:rPr>
          <w:b/>
          <w:lang w:bidi="es-ES"/>
        </w:rPr>
        <w:t>AVISO PÚBLICO</w:t>
      </w:r>
    </w:p>
    <w:p w14:paraId="1586576D" w14:textId="3340C335" w:rsidR="00EF0CB9" w:rsidRPr="00EF5238" w:rsidRDefault="00A93E00" w:rsidP="00A31595">
      <w:pPr>
        <w:tabs>
          <w:tab w:val="left" w:pos="2846"/>
          <w:tab w:val="left" w:pos="2983"/>
        </w:tabs>
        <w:jc w:val="center"/>
        <w:rPr>
          <w:b/>
          <w:szCs w:val="26"/>
        </w:rPr>
      </w:pPr>
      <w:r>
        <w:rPr>
          <w:b/>
          <w:lang w:bidi="es-ES"/>
        </w:rPr>
        <w:t>APERTURA DE UNA LISTA</w:t>
      </w:r>
      <w:r w:rsidR="008311A7">
        <w:rPr>
          <w:b/>
          <w:lang w:bidi="es-ES"/>
        </w:rPr>
        <w:t xml:space="preserve"> DE ESPERA PARA VIVIENDAS DE HACA</w:t>
      </w:r>
    </w:p>
    <w:p w14:paraId="5DD4B096" w14:textId="77777777" w:rsidR="00A31595" w:rsidRPr="00EF5238" w:rsidRDefault="00A31595" w:rsidP="00A31595">
      <w:pPr>
        <w:tabs>
          <w:tab w:val="left" w:pos="2846"/>
          <w:tab w:val="left" w:pos="2983"/>
        </w:tabs>
        <w:jc w:val="center"/>
        <w:rPr>
          <w:b/>
          <w:sz w:val="16"/>
          <w:szCs w:val="26"/>
        </w:rPr>
      </w:pPr>
    </w:p>
    <w:p w14:paraId="438748FA" w14:textId="4F7E4E68" w:rsidR="008311A7" w:rsidRDefault="008311A7" w:rsidP="00B50E3F">
      <w:pPr>
        <w:tabs>
          <w:tab w:val="left" w:pos="2846"/>
          <w:tab w:val="left" w:pos="2983"/>
        </w:tabs>
        <w:jc w:val="both"/>
        <w:rPr>
          <w:sz w:val="20"/>
          <w:lang w:bidi="es-ES"/>
        </w:rPr>
      </w:pPr>
      <w:r>
        <w:rPr>
          <w:sz w:val="20"/>
          <w:lang w:bidi="es-ES"/>
        </w:rPr>
        <w:t>La Autoridad de Vivienda de la Ciudad de Austin (HACA) se complac</w:t>
      </w:r>
      <w:r w:rsidR="00A93E00">
        <w:rPr>
          <w:sz w:val="20"/>
          <w:lang w:bidi="es-ES"/>
        </w:rPr>
        <w:t>e en anunciar la apertura de una lista</w:t>
      </w:r>
      <w:r>
        <w:rPr>
          <w:sz w:val="20"/>
          <w:lang w:bidi="es-ES"/>
        </w:rPr>
        <w:t xml:space="preserve"> de espera a partir del </w:t>
      </w:r>
      <w:r w:rsidR="00357529" w:rsidRPr="00E42750">
        <w:rPr>
          <w:b/>
          <w:sz w:val="20"/>
          <w:lang w:bidi="es-ES"/>
        </w:rPr>
        <w:t>11</w:t>
      </w:r>
      <w:r w:rsidR="00F11CAE" w:rsidRPr="00E42750">
        <w:rPr>
          <w:b/>
          <w:sz w:val="20"/>
          <w:lang w:bidi="es-ES"/>
        </w:rPr>
        <w:t xml:space="preserve"> de abril</w:t>
      </w:r>
      <w:r w:rsidR="00A93E00" w:rsidRPr="00E42750">
        <w:rPr>
          <w:b/>
          <w:sz w:val="20"/>
          <w:lang w:bidi="es-ES"/>
        </w:rPr>
        <w:t xml:space="preserve"> a las 8:00</w:t>
      </w:r>
      <w:r w:rsidR="00F11CAE" w:rsidRPr="00E42750">
        <w:rPr>
          <w:b/>
          <w:sz w:val="20"/>
          <w:lang w:bidi="es-ES"/>
        </w:rPr>
        <w:t xml:space="preserve"> a.m. y hasta el 14 de abril</w:t>
      </w:r>
      <w:r w:rsidR="00357529" w:rsidRPr="00E42750">
        <w:rPr>
          <w:b/>
          <w:sz w:val="20"/>
          <w:lang w:bidi="es-ES"/>
        </w:rPr>
        <w:t xml:space="preserve"> de 2023</w:t>
      </w:r>
      <w:r w:rsidRPr="00E42750">
        <w:rPr>
          <w:b/>
          <w:sz w:val="20"/>
          <w:lang w:bidi="es-ES"/>
        </w:rPr>
        <w:t xml:space="preserve"> a las 5:00 p.m.</w:t>
      </w:r>
      <w:r w:rsidR="00A93E00">
        <w:rPr>
          <w:sz w:val="20"/>
          <w:lang w:bidi="es-ES"/>
        </w:rPr>
        <w:t xml:space="preserve"> para la </w:t>
      </w:r>
      <w:proofErr w:type="gramStart"/>
      <w:r w:rsidR="00A93E00">
        <w:rPr>
          <w:sz w:val="20"/>
          <w:lang w:bidi="es-ES"/>
        </w:rPr>
        <w:t>siguiente propiedad</w:t>
      </w:r>
      <w:r w:rsidR="00E42750">
        <w:rPr>
          <w:sz w:val="20"/>
          <w:lang w:bidi="es-ES"/>
        </w:rPr>
        <w:t>es</w:t>
      </w:r>
      <w:bookmarkStart w:id="0" w:name="_GoBack"/>
      <w:bookmarkEnd w:id="0"/>
      <w:proofErr w:type="gramEnd"/>
      <w:r>
        <w:rPr>
          <w:sz w:val="20"/>
          <w:lang w:bidi="es-ES"/>
        </w:rPr>
        <w:t xml:space="preserve"> de HACA:</w:t>
      </w:r>
    </w:p>
    <w:p w14:paraId="17BB5957" w14:textId="77777777" w:rsidR="00357529" w:rsidRDefault="00357529" w:rsidP="00B50E3F">
      <w:pPr>
        <w:tabs>
          <w:tab w:val="left" w:pos="2846"/>
          <w:tab w:val="left" w:pos="2983"/>
        </w:tabs>
        <w:jc w:val="both"/>
        <w:rPr>
          <w:sz w:val="20"/>
        </w:rPr>
      </w:pPr>
    </w:p>
    <w:p w14:paraId="38077A89" w14:textId="77777777" w:rsidR="00B2386C" w:rsidRPr="00B2386C" w:rsidRDefault="00B2386C" w:rsidP="00B50E3F">
      <w:pPr>
        <w:tabs>
          <w:tab w:val="left" w:pos="2846"/>
          <w:tab w:val="left" w:pos="2983"/>
        </w:tabs>
        <w:jc w:val="both"/>
        <w:rPr>
          <w:sz w:val="8"/>
        </w:rPr>
      </w:pPr>
    </w:p>
    <w:p w14:paraId="11F499D6" w14:textId="4B02BAE4" w:rsidR="007B7A37" w:rsidRDefault="00155044" w:rsidP="00703267">
      <w:pPr>
        <w:numPr>
          <w:ilvl w:val="0"/>
          <w:numId w:val="1"/>
        </w:numPr>
        <w:ind w:left="1170" w:hanging="270"/>
        <w:jc w:val="both"/>
        <w:rPr>
          <w:sz w:val="20"/>
        </w:rPr>
      </w:pPr>
      <w:proofErr w:type="spellStart"/>
      <w:r>
        <w:rPr>
          <w:sz w:val="20"/>
          <w:lang w:bidi="es-ES"/>
        </w:rPr>
        <w:t>Pathways</w:t>
      </w:r>
      <w:proofErr w:type="spellEnd"/>
      <w:r>
        <w:rPr>
          <w:sz w:val="20"/>
          <w:lang w:bidi="es-ES"/>
        </w:rPr>
        <w:t xml:space="preserve"> at </w:t>
      </w:r>
      <w:proofErr w:type="spellStart"/>
      <w:r w:rsidR="00F11CAE">
        <w:rPr>
          <w:sz w:val="20"/>
          <w:lang w:bidi="es-ES"/>
        </w:rPr>
        <w:t>Gaston</w:t>
      </w:r>
      <w:proofErr w:type="spellEnd"/>
      <w:r w:rsidR="00F11CAE">
        <w:rPr>
          <w:sz w:val="20"/>
          <w:lang w:bidi="es-ES"/>
        </w:rPr>
        <w:t xml:space="preserve"> Place</w:t>
      </w:r>
      <w:r w:rsidR="00357529">
        <w:rPr>
          <w:sz w:val="20"/>
          <w:lang w:bidi="es-ES"/>
        </w:rPr>
        <w:t xml:space="preserve"> – Unidades uno (1) y dos (2</w:t>
      </w:r>
      <w:r w:rsidR="00AA5E9A">
        <w:rPr>
          <w:sz w:val="20"/>
          <w:lang w:bidi="es-ES"/>
        </w:rPr>
        <w:t xml:space="preserve">) </w:t>
      </w:r>
      <w:r>
        <w:rPr>
          <w:sz w:val="20"/>
          <w:lang w:bidi="es-ES"/>
        </w:rPr>
        <w:t>dormitorios</w:t>
      </w:r>
    </w:p>
    <w:p w14:paraId="42C88A61" w14:textId="7EFE9777" w:rsidR="00F11CAE" w:rsidRDefault="00F11CAE" w:rsidP="00F11CAE">
      <w:pPr>
        <w:pStyle w:val="ListParagraph"/>
        <w:numPr>
          <w:ilvl w:val="0"/>
          <w:numId w:val="6"/>
        </w:numPr>
        <w:jc w:val="both"/>
        <w:rPr>
          <w:sz w:val="20"/>
        </w:rPr>
      </w:pPr>
      <w:r w:rsidRPr="00F11CAE">
        <w:rPr>
          <w:sz w:val="20"/>
        </w:rPr>
        <w:t xml:space="preserve">Esta propiedad da prioridad a </w:t>
      </w:r>
      <w:r>
        <w:rPr>
          <w:sz w:val="20"/>
        </w:rPr>
        <w:t>las familias mayores de 62 años</w:t>
      </w:r>
    </w:p>
    <w:p w14:paraId="0805AD37" w14:textId="77777777" w:rsidR="00F11CAE" w:rsidRPr="00F11CAE" w:rsidRDefault="00F11CAE" w:rsidP="00F11CAE">
      <w:pPr>
        <w:pStyle w:val="ListParagraph"/>
        <w:ind w:left="1890"/>
        <w:jc w:val="both"/>
        <w:rPr>
          <w:sz w:val="20"/>
        </w:rPr>
      </w:pPr>
    </w:p>
    <w:p w14:paraId="2161A2B2" w14:textId="0435B6DA" w:rsidR="00AA5E9A" w:rsidRDefault="00F11CAE" w:rsidP="00703267">
      <w:pPr>
        <w:numPr>
          <w:ilvl w:val="0"/>
          <w:numId w:val="1"/>
        </w:numPr>
        <w:ind w:left="1170" w:hanging="270"/>
        <w:jc w:val="both"/>
        <w:rPr>
          <w:sz w:val="20"/>
        </w:rPr>
      </w:pPr>
      <w:proofErr w:type="spellStart"/>
      <w:r>
        <w:rPr>
          <w:sz w:val="20"/>
          <w:lang w:bidi="es-ES"/>
        </w:rPr>
        <w:t>Pathways</w:t>
      </w:r>
      <w:proofErr w:type="spellEnd"/>
      <w:r>
        <w:rPr>
          <w:sz w:val="20"/>
          <w:lang w:bidi="es-ES"/>
        </w:rPr>
        <w:t xml:space="preserve"> at </w:t>
      </w:r>
      <w:proofErr w:type="spellStart"/>
      <w:r>
        <w:rPr>
          <w:sz w:val="20"/>
          <w:lang w:bidi="es-ES"/>
        </w:rPr>
        <w:t>Mancaca</w:t>
      </w:r>
      <w:proofErr w:type="spellEnd"/>
      <w:r>
        <w:rPr>
          <w:sz w:val="20"/>
          <w:lang w:bidi="es-ES"/>
        </w:rPr>
        <w:t xml:space="preserve"> </w:t>
      </w:r>
      <w:proofErr w:type="spellStart"/>
      <w:r>
        <w:rPr>
          <w:sz w:val="20"/>
          <w:lang w:bidi="es-ES"/>
        </w:rPr>
        <w:t>Village</w:t>
      </w:r>
      <w:proofErr w:type="spellEnd"/>
      <w:r w:rsidR="00AA5E9A">
        <w:rPr>
          <w:sz w:val="20"/>
          <w:lang w:bidi="es-ES"/>
        </w:rPr>
        <w:t xml:space="preserve"> – Unidades</w:t>
      </w:r>
      <w:r w:rsidR="00357529">
        <w:rPr>
          <w:sz w:val="20"/>
          <w:lang w:bidi="es-ES"/>
        </w:rPr>
        <w:t xml:space="preserve"> uno (1),</w:t>
      </w:r>
      <w:r w:rsidR="00AA5E9A">
        <w:rPr>
          <w:sz w:val="20"/>
          <w:lang w:bidi="es-ES"/>
        </w:rPr>
        <w:t xml:space="preserve"> dos </w:t>
      </w:r>
      <w:r w:rsidR="00357529">
        <w:rPr>
          <w:sz w:val="20"/>
          <w:lang w:bidi="es-ES"/>
        </w:rPr>
        <w:t>(2), tres (3),</w:t>
      </w:r>
      <w:r w:rsidR="00AA5E9A">
        <w:rPr>
          <w:sz w:val="20"/>
          <w:lang w:bidi="es-ES"/>
        </w:rPr>
        <w:t xml:space="preserve"> cuatro (4)</w:t>
      </w:r>
      <w:r w:rsidR="00357529">
        <w:rPr>
          <w:sz w:val="20"/>
          <w:lang w:bidi="es-ES"/>
        </w:rPr>
        <w:t xml:space="preserve"> y cinco (5)</w:t>
      </w:r>
      <w:r w:rsidR="00AA5E9A">
        <w:rPr>
          <w:sz w:val="20"/>
          <w:lang w:bidi="es-ES"/>
        </w:rPr>
        <w:t xml:space="preserve"> dormitorios</w:t>
      </w:r>
    </w:p>
    <w:p w14:paraId="4DDC991F" w14:textId="51E82EA2" w:rsidR="00357529" w:rsidRDefault="00F11CAE" w:rsidP="00703267">
      <w:pPr>
        <w:numPr>
          <w:ilvl w:val="0"/>
          <w:numId w:val="1"/>
        </w:numPr>
        <w:ind w:left="1170" w:hanging="270"/>
        <w:jc w:val="both"/>
        <w:rPr>
          <w:sz w:val="20"/>
        </w:rPr>
      </w:pPr>
      <w:proofErr w:type="spellStart"/>
      <w:r>
        <w:rPr>
          <w:sz w:val="20"/>
          <w:lang w:bidi="es-ES"/>
        </w:rPr>
        <w:t>Pathways</w:t>
      </w:r>
      <w:proofErr w:type="spellEnd"/>
      <w:r>
        <w:rPr>
          <w:sz w:val="20"/>
          <w:lang w:bidi="es-ES"/>
        </w:rPr>
        <w:t xml:space="preserve"> at </w:t>
      </w:r>
      <w:proofErr w:type="spellStart"/>
      <w:r>
        <w:rPr>
          <w:sz w:val="20"/>
          <w:lang w:bidi="es-ES"/>
        </w:rPr>
        <w:t>Manchaca</w:t>
      </w:r>
      <w:proofErr w:type="spellEnd"/>
      <w:r>
        <w:rPr>
          <w:sz w:val="20"/>
          <w:lang w:bidi="es-ES"/>
        </w:rPr>
        <w:t xml:space="preserve"> II</w:t>
      </w:r>
      <w:r w:rsidR="00357529">
        <w:rPr>
          <w:sz w:val="20"/>
          <w:lang w:bidi="es-ES"/>
        </w:rPr>
        <w:t xml:space="preserve"> – Unidades uno (1), dos (2), tres (3) y cuatro (4) dormitorios</w:t>
      </w:r>
    </w:p>
    <w:p w14:paraId="4B4F2E9B" w14:textId="77777777" w:rsidR="00F11CAE" w:rsidRDefault="00F11CAE" w:rsidP="00F11CAE">
      <w:pPr>
        <w:numPr>
          <w:ilvl w:val="0"/>
          <w:numId w:val="1"/>
        </w:numPr>
        <w:ind w:left="1170" w:hanging="270"/>
        <w:jc w:val="both"/>
        <w:rPr>
          <w:sz w:val="20"/>
        </w:rPr>
      </w:pPr>
      <w:proofErr w:type="spellStart"/>
      <w:r>
        <w:rPr>
          <w:sz w:val="20"/>
          <w:lang w:bidi="es-ES"/>
        </w:rPr>
        <w:t>Pathways</w:t>
      </w:r>
      <w:proofErr w:type="spellEnd"/>
      <w:r>
        <w:rPr>
          <w:sz w:val="20"/>
          <w:lang w:bidi="es-ES"/>
        </w:rPr>
        <w:t xml:space="preserve"> at </w:t>
      </w:r>
      <w:proofErr w:type="spellStart"/>
      <w:r>
        <w:rPr>
          <w:sz w:val="20"/>
          <w:lang w:bidi="es-ES"/>
        </w:rPr>
        <w:t>Shadowbend</w:t>
      </w:r>
      <w:proofErr w:type="spellEnd"/>
      <w:r>
        <w:rPr>
          <w:sz w:val="20"/>
          <w:lang w:bidi="es-ES"/>
        </w:rPr>
        <w:t xml:space="preserve"> Ridge - </w:t>
      </w:r>
      <w:proofErr w:type="spellStart"/>
      <w:r>
        <w:rPr>
          <w:sz w:val="20"/>
          <w:lang w:bidi="es-ES"/>
        </w:rPr>
        <w:t>Pathways</w:t>
      </w:r>
      <w:proofErr w:type="spellEnd"/>
      <w:r>
        <w:rPr>
          <w:sz w:val="20"/>
          <w:lang w:bidi="es-ES"/>
        </w:rPr>
        <w:t xml:space="preserve"> at </w:t>
      </w:r>
      <w:proofErr w:type="spellStart"/>
      <w:r>
        <w:rPr>
          <w:sz w:val="20"/>
          <w:lang w:bidi="es-ES"/>
        </w:rPr>
        <w:t>Mancaca</w:t>
      </w:r>
      <w:proofErr w:type="spellEnd"/>
      <w:r>
        <w:rPr>
          <w:sz w:val="20"/>
          <w:lang w:bidi="es-ES"/>
        </w:rPr>
        <w:t xml:space="preserve"> </w:t>
      </w:r>
      <w:proofErr w:type="spellStart"/>
      <w:r>
        <w:rPr>
          <w:sz w:val="20"/>
          <w:lang w:bidi="es-ES"/>
        </w:rPr>
        <w:t>Village</w:t>
      </w:r>
      <w:proofErr w:type="spellEnd"/>
      <w:r>
        <w:rPr>
          <w:sz w:val="20"/>
          <w:lang w:bidi="es-ES"/>
        </w:rPr>
        <w:t xml:space="preserve"> – Unidades uno (1), dos (2), tres (3), cuatro (4) y cinco (5) dormitorios</w:t>
      </w:r>
    </w:p>
    <w:p w14:paraId="5351DEB5" w14:textId="487D8DCF" w:rsidR="00F11CAE" w:rsidRDefault="00F11CAE" w:rsidP="00F11CAE">
      <w:pPr>
        <w:jc w:val="both"/>
        <w:rPr>
          <w:sz w:val="20"/>
        </w:rPr>
      </w:pPr>
    </w:p>
    <w:p w14:paraId="1BE8276D" w14:textId="5CD2C98E" w:rsidR="00357529" w:rsidRDefault="00357529" w:rsidP="00155044">
      <w:pPr>
        <w:jc w:val="both"/>
        <w:rPr>
          <w:sz w:val="20"/>
          <w:lang w:bidi="es-ES"/>
        </w:rPr>
      </w:pPr>
    </w:p>
    <w:p w14:paraId="474ED7F8" w14:textId="6A38B0EB" w:rsidR="008311A7" w:rsidRDefault="00155044" w:rsidP="00155044">
      <w:pPr>
        <w:jc w:val="both"/>
        <w:rPr>
          <w:sz w:val="20"/>
        </w:rPr>
      </w:pPr>
      <w:r>
        <w:rPr>
          <w:sz w:val="20"/>
          <w:lang w:bidi="es-ES"/>
        </w:rPr>
        <w:t xml:space="preserve">Todas las solicitudes deben enviarse a través del portal de HACA para solicitudes en línea, </w:t>
      </w:r>
      <w:hyperlink r:id="rId6" w:history="1">
        <w:r w:rsidR="00703267" w:rsidRPr="00025FA7">
          <w:rPr>
            <w:rStyle w:val="Hyperlink"/>
            <w:sz w:val="20"/>
            <w:lang w:bidi="es-ES"/>
          </w:rPr>
          <w:t>www.hacaapply.org</w:t>
        </w:r>
      </w:hyperlink>
      <w:r w:rsidR="00E8556D">
        <w:rPr>
          <w:sz w:val="20"/>
          <w:lang w:bidi="es-ES"/>
        </w:rPr>
        <w:t>.</w:t>
      </w:r>
    </w:p>
    <w:p w14:paraId="36C02E12" w14:textId="77777777" w:rsidR="00155044" w:rsidRDefault="00155044" w:rsidP="00155044">
      <w:pPr>
        <w:jc w:val="both"/>
        <w:rPr>
          <w:sz w:val="20"/>
        </w:rPr>
      </w:pPr>
    </w:p>
    <w:p w14:paraId="1A4E84EB" w14:textId="5D633611" w:rsidR="00D33CC6" w:rsidRDefault="00F11CAE" w:rsidP="00263C36">
      <w:pPr>
        <w:tabs>
          <w:tab w:val="left" w:pos="2846"/>
          <w:tab w:val="left" w:pos="2983"/>
        </w:tabs>
        <w:jc w:val="both"/>
        <w:rPr>
          <w:sz w:val="20"/>
          <w:lang w:bidi="es-ES"/>
        </w:rPr>
      </w:pPr>
      <w:r>
        <w:rPr>
          <w:b/>
          <w:sz w:val="20"/>
          <w:u w:val="single"/>
          <w:lang w:bidi="es-ES"/>
        </w:rPr>
        <w:t>Después de las 5:00 p.m. del 14 de abril</w:t>
      </w:r>
      <w:r w:rsidR="00357529">
        <w:rPr>
          <w:b/>
          <w:sz w:val="20"/>
          <w:u w:val="single"/>
          <w:lang w:bidi="es-ES"/>
        </w:rPr>
        <w:t>, 2023</w:t>
      </w:r>
      <w:r w:rsidR="00D409F0" w:rsidRPr="000D2990">
        <w:rPr>
          <w:b/>
          <w:sz w:val="20"/>
          <w:lang w:bidi="es-ES"/>
        </w:rPr>
        <w:t xml:space="preserve"> </w:t>
      </w:r>
      <w:r w:rsidR="00D409F0" w:rsidRPr="000D2990">
        <w:rPr>
          <w:sz w:val="20"/>
          <w:lang w:bidi="es-ES"/>
        </w:rPr>
        <w:t>no se aceptar</w:t>
      </w:r>
      <w:r w:rsidR="00A93E00">
        <w:rPr>
          <w:sz w:val="20"/>
          <w:lang w:bidi="es-ES"/>
        </w:rPr>
        <w:t>án nuevas solicitudes para esta lista</w:t>
      </w:r>
      <w:r w:rsidR="00D409F0" w:rsidRPr="000D2990">
        <w:rPr>
          <w:sz w:val="20"/>
          <w:lang w:bidi="es-ES"/>
        </w:rPr>
        <w:t xml:space="preserve"> de espera hasta que anuncie</w:t>
      </w:r>
      <w:r w:rsidR="00A93E00">
        <w:rPr>
          <w:sz w:val="20"/>
          <w:lang w:bidi="es-ES"/>
        </w:rPr>
        <w:t>mos una nueva apertura</w:t>
      </w:r>
      <w:r w:rsidR="00D409F0" w:rsidRPr="000D2990">
        <w:rPr>
          <w:sz w:val="20"/>
          <w:lang w:bidi="es-ES"/>
        </w:rPr>
        <w:t>. Si le interesa</w:t>
      </w:r>
      <w:r w:rsidR="00A93E00">
        <w:rPr>
          <w:sz w:val="20"/>
          <w:lang w:bidi="es-ES"/>
        </w:rPr>
        <w:t xml:space="preserve"> presentar su solicitud para esta lista de espera mencionada</w:t>
      </w:r>
      <w:r w:rsidR="00D409F0" w:rsidRPr="000D2990">
        <w:rPr>
          <w:sz w:val="20"/>
          <w:lang w:bidi="es-ES"/>
        </w:rPr>
        <w:t xml:space="preserve"> anteriormente antes del cierre, visite </w:t>
      </w:r>
      <w:hyperlink r:id="rId7" w:history="1">
        <w:r w:rsidR="00B50E3F" w:rsidRPr="00EF5238">
          <w:rPr>
            <w:rStyle w:val="Hyperlink"/>
            <w:sz w:val="20"/>
            <w:lang w:bidi="es-ES"/>
          </w:rPr>
          <w:t>www.hacaapply.org</w:t>
        </w:r>
      </w:hyperlink>
      <w:r w:rsidR="00D409F0" w:rsidRPr="000D2990">
        <w:rPr>
          <w:sz w:val="20"/>
          <w:lang w:bidi="es-ES"/>
        </w:rPr>
        <w:t>.</w:t>
      </w:r>
    </w:p>
    <w:p w14:paraId="45FF1C01" w14:textId="77777777" w:rsidR="00D33CC6" w:rsidRDefault="00D33CC6" w:rsidP="00D33CC6">
      <w:pPr>
        <w:pStyle w:val="Footer"/>
        <w:tabs>
          <w:tab w:val="clear" w:pos="9360"/>
          <w:tab w:val="center" w:pos="5040"/>
          <w:tab w:val="right" w:pos="8910"/>
        </w:tabs>
        <w:spacing w:after="100" w:afterAutospacing="1"/>
        <w:ind w:right="34"/>
        <w:rPr>
          <w:sz w:val="15"/>
          <w:szCs w:val="15"/>
        </w:rPr>
      </w:pPr>
      <w:r>
        <w:rPr>
          <w:noProof/>
          <w:sz w:val="15"/>
          <w:szCs w:val="15"/>
          <w:lang w:val="en-US"/>
        </w:rPr>
        <w:drawing>
          <wp:anchor distT="0" distB="0" distL="114300" distR="114300" simplePos="0" relativeHeight="251659776" behindDoc="0" locked="0" layoutInCell="1" allowOverlap="1" wp14:anchorId="62EF18F7" wp14:editId="086881D4">
            <wp:simplePos x="0" y="0"/>
            <wp:positionH relativeFrom="column">
              <wp:posOffset>-23495</wp:posOffset>
            </wp:positionH>
            <wp:positionV relativeFrom="paragraph">
              <wp:posOffset>230505</wp:posOffset>
            </wp:positionV>
            <wp:extent cx="480681" cy="520995"/>
            <wp:effectExtent l="19050" t="0" r="0" b="0"/>
            <wp:wrapNone/>
            <wp:docPr id="6" name="Picture 10" descr="fheo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heo35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681" cy="52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E21A98" w14:textId="77777777" w:rsidR="00D33CC6" w:rsidRDefault="00D33CC6" w:rsidP="00D33CC6">
      <w:pPr>
        <w:ind w:left="810"/>
        <w:jc w:val="both"/>
        <w:rPr>
          <w:sz w:val="15"/>
          <w:szCs w:val="15"/>
        </w:rPr>
      </w:pPr>
      <w:r w:rsidRPr="0005599D">
        <w:rPr>
          <w:sz w:val="15"/>
          <w:szCs w:val="15"/>
          <w:lang w:val="es-MX"/>
        </w:rPr>
        <w:t>HACA no discrimina en caso de alguna situación de discapacidad en la admisión de acceso,  tratamiento o empleo en sus programas y actividades que reciben asistencia federal en</w:t>
      </w:r>
      <w:r>
        <w:rPr>
          <w:sz w:val="15"/>
          <w:szCs w:val="15"/>
          <w:lang w:val="es-MX"/>
        </w:rPr>
        <w:t>.  L</w:t>
      </w:r>
      <w:r w:rsidRPr="0005599D">
        <w:rPr>
          <w:sz w:val="15"/>
          <w:szCs w:val="15"/>
          <w:lang w:val="es-MX"/>
        </w:rPr>
        <w:t>a persona que haya sido designada para coordinar el cumplimiento de los requisitos de no discriminación contenidas en las reglamentaciones de HUD con aplicación de la Sección 504: </w:t>
      </w:r>
      <w:r>
        <w:rPr>
          <w:sz w:val="15"/>
          <w:szCs w:val="15"/>
          <w:lang w:val="es-MX"/>
        </w:rPr>
        <w:t>Compliance Analyst, Low Income Housing Department</w:t>
      </w:r>
      <w:r w:rsidRPr="0005599D">
        <w:rPr>
          <w:sz w:val="15"/>
          <w:szCs w:val="15"/>
          <w:lang w:val="es-MX"/>
        </w:rPr>
        <w:t>, 1124 S. IH 35, Austin, TX 78704, (512)477-4488: TTY: (800) 735-2989 o 711 Mensaje de voz.</w:t>
      </w:r>
    </w:p>
    <w:p w14:paraId="0B2316F5" w14:textId="7EADA621" w:rsidR="00D33CC6" w:rsidRPr="00787E04" w:rsidRDefault="00D33CC6" w:rsidP="00D33CC6">
      <w:pPr>
        <w:pStyle w:val="Footer"/>
        <w:tabs>
          <w:tab w:val="clear" w:pos="9360"/>
          <w:tab w:val="center" w:pos="5040"/>
          <w:tab w:val="right" w:pos="8910"/>
        </w:tabs>
        <w:ind w:left="1890" w:right="34" w:hanging="1890"/>
        <w:rPr>
          <w:i/>
          <w:sz w:val="15"/>
          <w:szCs w:val="15"/>
        </w:rPr>
      </w:pP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</w:p>
    <w:p w14:paraId="5C347165" w14:textId="77777777" w:rsidR="00D33CC6" w:rsidRDefault="00D33CC6" w:rsidP="00D33CC6">
      <w:pPr>
        <w:pStyle w:val="Footer"/>
      </w:pPr>
    </w:p>
    <w:p w14:paraId="333CFE93" w14:textId="77777777" w:rsidR="00D33CC6" w:rsidRPr="00092FE3" w:rsidRDefault="00D33CC6" w:rsidP="00263C36">
      <w:pPr>
        <w:tabs>
          <w:tab w:val="left" w:pos="2846"/>
          <w:tab w:val="left" w:pos="2983"/>
        </w:tabs>
        <w:jc w:val="both"/>
        <w:rPr>
          <w:rFonts w:asciiTheme="minorHAnsi" w:eastAsiaTheme="minorHAnsi" w:hAnsiTheme="minorHAnsi" w:cstheme="minorBidi"/>
          <w:sz w:val="15"/>
          <w:szCs w:val="15"/>
        </w:rPr>
      </w:pPr>
    </w:p>
    <w:sectPr w:rsidR="00D33CC6" w:rsidRPr="00092FE3" w:rsidSect="00EF5238">
      <w:type w:val="continuous"/>
      <w:pgSz w:w="12240" w:h="15840" w:code="1"/>
      <w:pgMar w:top="864" w:right="1152" w:bottom="864" w:left="1152" w:header="720" w:footer="720" w:gutter="0"/>
      <w:cols w:space="720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D6186"/>
    <w:multiLevelType w:val="hybridMultilevel"/>
    <w:tmpl w:val="D15073B4"/>
    <w:lvl w:ilvl="0" w:tplc="4E742CDA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abstractNum w:abstractNumId="1" w15:restartNumberingAfterBreak="0">
    <w:nsid w:val="5F47016D"/>
    <w:multiLevelType w:val="hybridMultilevel"/>
    <w:tmpl w:val="C90C888E"/>
    <w:lvl w:ilvl="0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abstractNum w:abstractNumId="2" w15:restartNumberingAfterBreak="0">
    <w:nsid w:val="61EF50FB"/>
    <w:multiLevelType w:val="hybridMultilevel"/>
    <w:tmpl w:val="DF485D16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 w15:restartNumberingAfterBreak="0">
    <w:nsid w:val="6E422306"/>
    <w:multiLevelType w:val="hybridMultilevel"/>
    <w:tmpl w:val="A0427BB4"/>
    <w:lvl w:ilvl="0" w:tplc="1804BDE0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abstractNum w:abstractNumId="4" w15:restartNumberingAfterBreak="0">
    <w:nsid w:val="730A06B7"/>
    <w:multiLevelType w:val="hybridMultilevel"/>
    <w:tmpl w:val="A9C808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2C1D1B"/>
    <w:multiLevelType w:val="hybridMultilevel"/>
    <w:tmpl w:val="A1B4DD38"/>
    <w:lvl w:ilvl="0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proofState w:spelling="clean" w:grammar="clean"/>
  <w:doNotTrackFormatting/>
  <w:defaultTabStop w:val="720"/>
  <w:drawingGridHorizontalSpacing w:val="13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95"/>
    <w:rsid w:val="00032669"/>
    <w:rsid w:val="00045D00"/>
    <w:rsid w:val="00092FE3"/>
    <w:rsid w:val="000C5A0C"/>
    <w:rsid w:val="000C5FE9"/>
    <w:rsid w:val="000D2990"/>
    <w:rsid w:val="000D3EB4"/>
    <w:rsid w:val="000E1670"/>
    <w:rsid w:val="0010589F"/>
    <w:rsid w:val="001375C8"/>
    <w:rsid w:val="00155044"/>
    <w:rsid w:val="00175339"/>
    <w:rsid w:val="00187867"/>
    <w:rsid w:val="001B1306"/>
    <w:rsid w:val="001B3323"/>
    <w:rsid w:val="001C53A5"/>
    <w:rsid w:val="002204E5"/>
    <w:rsid w:val="0024377C"/>
    <w:rsid w:val="00243A50"/>
    <w:rsid w:val="00263C36"/>
    <w:rsid w:val="00335534"/>
    <w:rsid w:val="00350C1C"/>
    <w:rsid w:val="00357529"/>
    <w:rsid w:val="003C059A"/>
    <w:rsid w:val="003C7D4A"/>
    <w:rsid w:val="00424EAD"/>
    <w:rsid w:val="00462E79"/>
    <w:rsid w:val="005A1D90"/>
    <w:rsid w:val="005F73E4"/>
    <w:rsid w:val="00665123"/>
    <w:rsid w:val="00666939"/>
    <w:rsid w:val="0066755C"/>
    <w:rsid w:val="0068011B"/>
    <w:rsid w:val="006960B5"/>
    <w:rsid w:val="006F47DA"/>
    <w:rsid w:val="00703267"/>
    <w:rsid w:val="00750DC0"/>
    <w:rsid w:val="00756860"/>
    <w:rsid w:val="007B7A37"/>
    <w:rsid w:val="007D4CC4"/>
    <w:rsid w:val="007F489C"/>
    <w:rsid w:val="0080213C"/>
    <w:rsid w:val="00806D6F"/>
    <w:rsid w:val="00824D33"/>
    <w:rsid w:val="008311A7"/>
    <w:rsid w:val="008424A5"/>
    <w:rsid w:val="008839C5"/>
    <w:rsid w:val="009464EB"/>
    <w:rsid w:val="00972239"/>
    <w:rsid w:val="009A69DC"/>
    <w:rsid w:val="00A31595"/>
    <w:rsid w:val="00A33201"/>
    <w:rsid w:val="00A93E00"/>
    <w:rsid w:val="00AA5E9A"/>
    <w:rsid w:val="00AC1548"/>
    <w:rsid w:val="00B06757"/>
    <w:rsid w:val="00B2386C"/>
    <w:rsid w:val="00B4281F"/>
    <w:rsid w:val="00B50E3F"/>
    <w:rsid w:val="00B53B71"/>
    <w:rsid w:val="00B635F6"/>
    <w:rsid w:val="00B64813"/>
    <w:rsid w:val="00B73C84"/>
    <w:rsid w:val="00C66202"/>
    <w:rsid w:val="00C75C3C"/>
    <w:rsid w:val="00CA5EFC"/>
    <w:rsid w:val="00CD700D"/>
    <w:rsid w:val="00D33CC6"/>
    <w:rsid w:val="00D409F0"/>
    <w:rsid w:val="00D531D3"/>
    <w:rsid w:val="00DA5AC3"/>
    <w:rsid w:val="00E42750"/>
    <w:rsid w:val="00E8556D"/>
    <w:rsid w:val="00E96D48"/>
    <w:rsid w:val="00EB1938"/>
    <w:rsid w:val="00EF0CB9"/>
    <w:rsid w:val="00EF5238"/>
    <w:rsid w:val="00F11CAE"/>
    <w:rsid w:val="00FB3CBD"/>
    <w:rsid w:val="00FB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18A71B"/>
  <w15:docId w15:val="{035311E8-7969-4DA1-9268-606EAB2C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DC0"/>
    <w:rPr>
      <w:sz w:val="26"/>
    </w:rPr>
  </w:style>
  <w:style w:type="paragraph" w:styleId="Heading1">
    <w:name w:val="heading 1"/>
    <w:basedOn w:val="Normal"/>
    <w:next w:val="Normal"/>
    <w:qFormat/>
    <w:rsid w:val="00750DC0"/>
    <w:pPr>
      <w:keepNext/>
      <w:outlineLvl w:val="0"/>
    </w:pPr>
    <w:rPr>
      <w:sz w:val="144"/>
    </w:rPr>
  </w:style>
  <w:style w:type="paragraph" w:styleId="Heading2">
    <w:name w:val="heading 2"/>
    <w:basedOn w:val="Normal"/>
    <w:next w:val="Normal"/>
    <w:qFormat/>
    <w:rsid w:val="00750DC0"/>
    <w:pPr>
      <w:keepNext/>
      <w:jc w:val="center"/>
      <w:outlineLvl w:val="1"/>
    </w:pPr>
    <w:rPr>
      <w:b/>
      <w:bCs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750DC0"/>
    <w:pPr>
      <w:framePr w:w="1888" w:h="15279" w:hSpace="180" w:wrap="around" w:vAnchor="text" w:hAnchor="page" w:x="449" w:y="-327"/>
      <w:pBdr>
        <w:right w:val="single" w:sz="6" w:space="1" w:color="auto"/>
      </w:pBdr>
      <w:ind w:firstLine="90"/>
    </w:pPr>
    <w:rPr>
      <w:b/>
      <w:sz w:val="16"/>
    </w:rPr>
  </w:style>
  <w:style w:type="character" w:styleId="Hyperlink">
    <w:name w:val="Hyperlink"/>
    <w:basedOn w:val="DefaultParagraphFont"/>
    <w:uiPriority w:val="99"/>
    <w:unhideWhenUsed/>
    <w:rsid w:val="00B50E3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7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7D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0675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7533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D3EB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D3EB4"/>
    <w:rPr>
      <w:rFonts w:asciiTheme="minorHAnsi" w:eastAsiaTheme="minorHAnsi" w:hAnsiTheme="minorHAnsi" w:cstheme="minorBid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204E5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204E5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hacaappl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caapply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HOUSING AUTHORITY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laurab</dc:creator>
  <cp:lastModifiedBy>HACA</cp:lastModifiedBy>
  <cp:revision>3</cp:revision>
  <cp:lastPrinted>2017-02-22T20:27:00Z</cp:lastPrinted>
  <dcterms:created xsi:type="dcterms:W3CDTF">2023-03-03T22:54:00Z</dcterms:created>
  <dcterms:modified xsi:type="dcterms:W3CDTF">2023-03-06T14:41:00Z</dcterms:modified>
</cp:coreProperties>
</file>